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West Georgia Regional Library Board Meeting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Summary Minutes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Tuesday, January 23, 2024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12:00 p.m.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124 W. Chandler Street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Carrollton, Georgia 30117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Meeting called to order at 12:03 p.m.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Present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Tracy Crooks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Charlene Thomas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Paula Steed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Katie Anderson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Rachael Carter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Sabrina Thompson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Katie Henry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Denney Rogers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Paula Steed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Charlene Thomas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Chloe Wilson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Richard Randolph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Eric Napier, WGRLS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Stephen Houser, WGRLS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Kristy Greene, WGRLS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Absent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Karen Tarpley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Pat Rakestraw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Kim Freedman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Approval of Agenda Motion - Katie Henry,  Katie Anderson 2nd, unanimously approved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Approval of Minutes Motion - Sabrina Thompson, Chloe Wilson, 2nd unanimously approved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No Public Comments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Director’s Report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Finance Committee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Didn’t meet due to lack of a quorum. Three action items moved to the March agenda.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Policy Committee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Discussion Item: 1st Read Personnel Policy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Discussion Item: 1st Read AI Usage Policy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Building and Grounds Committee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Discussion Item: FY25 Major Repair and Renovation (MRR) Update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Chair Discussion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Approval of RFP for Library Landscape and Pavilion Project - Rachael Carter,  Katie Anderson 2nd, unanimously approved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Approval of E-Rate Category 2 RFP - Katie Anderson , Katie Henry 2nd, unanimously approved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Approval of Strategic Plan Tactics -  Katie Henry, Rachael Carter 2nd, unanimously approved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Approval of Georgia Cyber Academy PLAY Card MOU - Katie Anderson, Katie Henry 2nd, unanimously approved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Meeting adjourned at 1:01 p.m. Motion - Katie Henry, Katie Anderson 2nd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157538" cy="4282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57538" cy="4282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